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6B4F" w14:textId="27F12938" w:rsidR="00117773" w:rsidRDefault="000D79C2">
      <w:pPr>
        <w:tabs>
          <w:tab w:val="center" w:pos="4536"/>
          <w:tab w:val="right" w:pos="7938"/>
          <w:tab w:val="right" w:pos="9639"/>
        </w:tabs>
        <w:rPr>
          <w:rFonts w:ascii="Arial" w:hAnsi="Arial" w:cs="Arial"/>
          <w:b/>
          <w:bCs/>
          <w:sz w:val="28"/>
          <w:highlight w:val="yellow"/>
          <w:lang w:val="en-US"/>
        </w:rPr>
      </w:pPr>
      <w:bookmarkStart w:id="0" w:name="_Hlk188873663"/>
      <w:bookmarkEnd w:id="0"/>
      <w:r>
        <w:rPr>
          <w:rFonts w:ascii="Arial" w:hAnsi="Arial" w:cs="Arial"/>
          <w:b/>
          <w:bCs/>
          <w:sz w:val="28"/>
          <w:lang w:val="en-US"/>
        </w:rPr>
        <w:t>3GPP TSG RAN WG1 #121</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R1-250</w:t>
      </w:r>
      <w:r w:rsidR="00373BBE">
        <w:rPr>
          <w:rFonts w:ascii="Arial" w:hAnsi="Arial" w:cs="Arial"/>
          <w:b/>
          <w:bCs/>
          <w:sz w:val="28"/>
          <w:lang w:val="en-US"/>
        </w:rPr>
        <w:t>494</w:t>
      </w:r>
      <w:r w:rsidR="0008178B">
        <w:rPr>
          <w:rFonts w:ascii="Arial" w:hAnsi="Arial" w:cs="Arial"/>
          <w:b/>
          <w:bCs/>
          <w:sz w:val="28"/>
          <w:lang w:val="en-US"/>
        </w:rPr>
        <w:t>8</w:t>
      </w:r>
    </w:p>
    <w:p w14:paraId="4D857A09" w14:textId="77777777" w:rsidR="00117773" w:rsidRDefault="000D79C2">
      <w:pPr>
        <w:spacing w:after="120"/>
        <w:ind w:left="1990" w:hanging="1990"/>
        <w:rPr>
          <w:rFonts w:ascii="Arial" w:hAnsi="Arial" w:cs="Arial"/>
          <w:b/>
          <w:bCs/>
          <w:sz w:val="28"/>
        </w:rPr>
      </w:pPr>
      <w:bookmarkStart w:id="1" w:name="_Hlk134824479"/>
      <w:r>
        <w:rPr>
          <w:rFonts w:ascii="Arial" w:hAnsi="Arial" w:cs="Arial"/>
          <w:b/>
          <w:bCs/>
          <w:sz w:val="28"/>
        </w:rPr>
        <w:t>St Julian’s, Malta</w:t>
      </w:r>
      <w:r>
        <w:rPr>
          <w:rFonts w:ascii="Arial" w:hAnsi="Arial" w:cs="Arial"/>
          <w:b/>
          <w:bCs/>
          <w:sz w:val="28"/>
          <w:lang w:eastAsia="zh-CN"/>
        </w:rPr>
        <w:t>, May 19</w:t>
      </w:r>
      <w:r>
        <w:rPr>
          <w:rFonts w:ascii="Arial" w:hAnsi="Arial" w:cs="Arial"/>
          <w:b/>
          <w:bCs/>
          <w:sz w:val="28"/>
          <w:vertAlign w:val="superscript"/>
          <w:lang w:eastAsia="zh-CN"/>
        </w:rPr>
        <w:t>th</w:t>
      </w:r>
      <w:r>
        <w:rPr>
          <w:rFonts w:ascii="Arial" w:hAnsi="Arial" w:cs="Arial"/>
          <w:b/>
          <w:bCs/>
          <w:sz w:val="28"/>
          <w:lang w:eastAsia="zh-CN"/>
        </w:rPr>
        <w:t xml:space="preserve"> – 23</w:t>
      </w:r>
      <w:r>
        <w:rPr>
          <w:rFonts w:ascii="Arial" w:hAnsi="Arial" w:cs="Arial"/>
          <w:b/>
          <w:bCs/>
          <w:sz w:val="28"/>
          <w:vertAlign w:val="superscript"/>
          <w:lang w:eastAsia="zh-CN"/>
        </w:rPr>
        <w:t>rd</w:t>
      </w:r>
      <w:r>
        <w:rPr>
          <w:rFonts w:ascii="Arial" w:hAnsi="Arial" w:cs="Arial"/>
          <w:b/>
          <w:bCs/>
          <w:sz w:val="28"/>
        </w:rPr>
        <w:t>,</w:t>
      </w:r>
      <w:bookmarkEnd w:id="1"/>
      <w:r>
        <w:rPr>
          <w:rFonts w:ascii="Arial" w:hAnsi="Arial" w:cs="Arial"/>
          <w:b/>
          <w:bCs/>
          <w:sz w:val="28"/>
        </w:rPr>
        <w:t xml:space="preserve"> 2025</w:t>
      </w:r>
    </w:p>
    <w:p w14:paraId="14A777ED" w14:textId="77777777"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77B06B9A" w14:textId="77777777"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461CEF1A" w14:textId="6F52F9A1"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r w:rsidR="0008178B">
        <w:rPr>
          <w:rFonts w:ascii="Arial" w:hAnsi="Arial" w:cs="Arial"/>
          <w:b/>
          <w:sz w:val="24"/>
        </w:rPr>
        <w:t>Information on validations for ISAC</w:t>
      </w:r>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26950D7D" w14:textId="77777777" w:rsidR="00117773" w:rsidRDefault="000D79C2">
      <w:pPr>
        <w:pStyle w:val="1"/>
      </w:pPr>
      <w:r>
        <w:t>Introduction</w:t>
      </w:r>
    </w:p>
    <w:p w14:paraId="5B92C5F2" w14:textId="27983373" w:rsidR="007D19A6" w:rsidRDefault="000D79C2" w:rsidP="007D19A6">
      <w:pPr>
        <w:spacing w:before="120" w:after="120"/>
        <w:jc w:val="both"/>
        <w:rPr>
          <w:lang w:val="en-US"/>
        </w:rPr>
      </w:pPr>
      <w:r>
        <w:t>In RAN #10</w:t>
      </w:r>
      <w:r w:rsidR="007D19A6">
        <w:t>5</w:t>
      </w:r>
      <w:r>
        <w:t xml:space="preserve">, </w:t>
      </w:r>
      <w:r>
        <w:rPr>
          <w:lang w:eastAsia="zh-CN"/>
        </w:rPr>
        <w:t xml:space="preserve">the </w:t>
      </w:r>
      <w:r w:rsidR="007D19A6">
        <w:rPr>
          <w:lang w:eastAsia="zh-CN"/>
        </w:rPr>
        <w:t xml:space="preserve">updated </w:t>
      </w:r>
      <w:r>
        <w:rPr>
          <w:lang w:eastAsia="zh-CN"/>
        </w:rPr>
        <w:t>SID</w:t>
      </w:r>
      <w:r>
        <w:rPr>
          <w:lang w:val="en-US" w:eastAsia="zh-CN"/>
        </w:rPr>
        <w:t xml:space="preserve"> on channel modelling</w:t>
      </w:r>
      <w:r>
        <w:rPr>
          <w:lang w:val="en-US"/>
        </w:rPr>
        <w:t xml:space="preserve"> for Integrated Sensing and Communication (ISAC) was agreed</w:t>
      </w:r>
      <w:r w:rsidR="00D051DD">
        <w:rPr>
          <w:lang w:val="en-US"/>
        </w:rPr>
        <w:t xml:space="preserve"> [2]</w:t>
      </w:r>
      <w:r>
        <w:rPr>
          <w:lang w:val="en-US"/>
        </w:rPr>
        <w:t xml:space="preserve">. </w:t>
      </w:r>
    </w:p>
    <w:tbl>
      <w:tblPr>
        <w:tblW w:w="9857" w:type="dxa"/>
        <w:tblLayout w:type="fixed"/>
        <w:tblLook w:val="04A0" w:firstRow="1" w:lastRow="0" w:firstColumn="1" w:lastColumn="0" w:noHBand="0" w:noVBand="1"/>
      </w:tblPr>
      <w:tblGrid>
        <w:gridCol w:w="9857"/>
      </w:tblGrid>
      <w:tr w:rsidR="007D19A6" w14:paraId="2CC011F8" w14:textId="77777777" w:rsidTr="001C7914">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4A0C4C87" w14:textId="77777777" w:rsidR="007D19A6" w:rsidRDefault="007D19A6" w:rsidP="001C7914">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4E0B8AC" w14:textId="77777777" w:rsidR="007D19A6" w:rsidRDefault="007D19A6" w:rsidP="007D19A6">
            <w:pPr>
              <w:widowControl w:val="0"/>
              <w:numPr>
                <w:ilvl w:val="0"/>
                <w:numId w:val="15"/>
              </w:numPr>
              <w:textAlignment w:val="baseline"/>
              <w:rPr>
                <w:bCs/>
              </w:rPr>
            </w:pPr>
            <w:r>
              <w:rPr>
                <w:bCs/>
              </w:rPr>
              <w:t>UAVs</w:t>
            </w:r>
          </w:p>
          <w:p w14:paraId="4C199253" w14:textId="77777777" w:rsidR="007D19A6" w:rsidRDefault="007D19A6" w:rsidP="007D19A6">
            <w:pPr>
              <w:widowControl w:val="0"/>
              <w:numPr>
                <w:ilvl w:val="0"/>
                <w:numId w:val="15"/>
              </w:numPr>
              <w:textAlignment w:val="baseline"/>
              <w:rPr>
                <w:bCs/>
              </w:rPr>
            </w:pPr>
            <w:r>
              <w:rPr>
                <w:bCs/>
              </w:rPr>
              <w:t xml:space="preserve">Humans indoors and outdoors </w:t>
            </w:r>
          </w:p>
          <w:p w14:paraId="0C0F4CF4" w14:textId="77777777" w:rsidR="007D19A6" w:rsidRDefault="007D19A6" w:rsidP="007D19A6">
            <w:pPr>
              <w:widowControl w:val="0"/>
              <w:numPr>
                <w:ilvl w:val="0"/>
                <w:numId w:val="15"/>
              </w:numPr>
              <w:textAlignment w:val="baseline"/>
              <w:rPr>
                <w:bCs/>
              </w:rPr>
            </w:pPr>
            <w:r>
              <w:rPr>
                <w:bCs/>
              </w:rPr>
              <w:t>Automotive vehicles (at least outdoors)</w:t>
            </w:r>
          </w:p>
          <w:p w14:paraId="4207D51A" w14:textId="77777777" w:rsidR="007D19A6" w:rsidRDefault="007D19A6" w:rsidP="007D19A6">
            <w:pPr>
              <w:widowControl w:val="0"/>
              <w:numPr>
                <w:ilvl w:val="0"/>
                <w:numId w:val="15"/>
              </w:numPr>
              <w:textAlignment w:val="baseline"/>
              <w:rPr>
                <w:bCs/>
              </w:rPr>
            </w:pPr>
            <w:r>
              <w:rPr>
                <w:bCs/>
              </w:rPr>
              <w:t>Automated guided vehicles (</w:t>
            </w:r>
            <w:proofErr w:type="gramStart"/>
            <w:r>
              <w:rPr>
                <w:bCs/>
              </w:rPr>
              <w:t>e.g.</w:t>
            </w:r>
            <w:proofErr w:type="gramEnd"/>
            <w:r>
              <w:rPr>
                <w:bCs/>
              </w:rPr>
              <w:t xml:space="preserve"> in indoor factories)</w:t>
            </w:r>
          </w:p>
          <w:p w14:paraId="41872395" w14:textId="77777777" w:rsidR="007D19A6" w:rsidRDefault="007D19A6" w:rsidP="007D19A6">
            <w:pPr>
              <w:widowControl w:val="0"/>
              <w:numPr>
                <w:ilvl w:val="0"/>
                <w:numId w:val="15"/>
              </w:numPr>
              <w:textAlignment w:val="baseline"/>
              <w:rPr>
                <w:bCs/>
              </w:rPr>
            </w:pPr>
            <w:r>
              <w:rPr>
                <w:bCs/>
              </w:rPr>
              <w:t>Objects creating hazards on roads/railways, with a minimum size dependent on frequency</w:t>
            </w:r>
          </w:p>
          <w:p w14:paraId="786CDC7F" w14:textId="77777777" w:rsidR="007D19A6" w:rsidRDefault="007D19A6" w:rsidP="001C7914">
            <w:pPr>
              <w:widowControl w:val="0"/>
              <w:rPr>
                <w:bCs/>
              </w:rPr>
            </w:pPr>
          </w:p>
          <w:p w14:paraId="0353FE62" w14:textId="77777777" w:rsidR="007D19A6" w:rsidRDefault="007D19A6" w:rsidP="001C7914">
            <w:pPr>
              <w:widowControl w:val="0"/>
              <w:rPr>
                <w:bCs/>
              </w:rPr>
            </w:pPr>
            <w:r>
              <w:rPr>
                <w:bCs/>
              </w:rPr>
              <w:t>All six sensing modes should be considered (</w:t>
            </w:r>
            <w:proofErr w:type="gramStart"/>
            <w:r>
              <w:rPr>
                <w:bCs/>
              </w:rPr>
              <w:t>i.e.</w:t>
            </w:r>
            <w:proofErr w:type="gramEnd"/>
            <w:r>
              <w:rPr>
                <w:bCs/>
              </w:rPr>
              <w:t xml:space="preserve"> TRP-TRP bistatic, TRP monostatic, TRP-UE bistatic, UE-TRP bistatic, UE-UE bistatic, UE monostatic). </w:t>
            </w:r>
          </w:p>
          <w:p w14:paraId="4852AE06" w14:textId="77777777" w:rsidR="007D19A6" w:rsidRDefault="007D19A6" w:rsidP="001C7914">
            <w:pPr>
              <w:widowControl w:val="0"/>
              <w:rPr>
                <w:bCs/>
              </w:rPr>
            </w:pPr>
          </w:p>
          <w:p w14:paraId="26EAED68" w14:textId="77777777" w:rsidR="007D19A6" w:rsidRDefault="007D19A6" w:rsidP="001C7914">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1DA2755E" w14:textId="77777777" w:rsidR="007D19A6" w:rsidRDefault="007D19A6" w:rsidP="001C7914">
            <w:pPr>
              <w:widowControl w:val="0"/>
              <w:rPr>
                <w:bCs/>
              </w:rPr>
            </w:pPr>
          </w:p>
          <w:p w14:paraId="7C7D4EAB" w14:textId="77777777" w:rsidR="007D19A6" w:rsidRDefault="007D19A6" w:rsidP="001C7914">
            <w:pPr>
              <w:widowControl w:val="0"/>
              <w:rPr>
                <w:bCs/>
              </w:rPr>
            </w:pPr>
            <w:r>
              <w:rPr>
                <w:bCs/>
              </w:rPr>
              <w:t>For the above use cases, sensing modes and frequencies:</w:t>
            </w:r>
          </w:p>
          <w:p w14:paraId="6E3FE6D0" w14:textId="77777777" w:rsidR="007D19A6" w:rsidRDefault="007D19A6" w:rsidP="007D19A6">
            <w:pPr>
              <w:widowControl w:val="0"/>
              <w:numPr>
                <w:ilvl w:val="0"/>
                <w:numId w:val="16"/>
              </w:numPr>
              <w:textAlignment w:val="baseline"/>
              <w:rPr>
                <w:bCs/>
              </w:rPr>
            </w:pPr>
            <w:r>
              <w:rPr>
                <w:bCs/>
              </w:rPr>
              <w:t>Identify details of the deployment scenarios corresponding to the above use cases.</w:t>
            </w:r>
          </w:p>
          <w:p w14:paraId="24869A99" w14:textId="77777777" w:rsidR="007D19A6" w:rsidRDefault="007D19A6" w:rsidP="007D19A6">
            <w:pPr>
              <w:widowControl w:val="0"/>
              <w:numPr>
                <w:ilvl w:val="0"/>
                <w:numId w:val="16"/>
              </w:numPr>
              <w:textAlignment w:val="baseline"/>
              <w:rPr>
                <w:bCs/>
              </w:rPr>
            </w:pPr>
            <w:r>
              <w:rPr>
                <w:bCs/>
              </w:rPr>
              <w:t>Define channel modelling details for sensing using 38.901 as a starting point, and taking into account relevant measurements, including:</w:t>
            </w:r>
          </w:p>
          <w:p w14:paraId="5AE59BC0" w14:textId="77777777" w:rsidR="007D19A6" w:rsidRDefault="007D19A6" w:rsidP="007D19A6">
            <w:pPr>
              <w:widowControl w:val="0"/>
              <w:numPr>
                <w:ilvl w:val="0"/>
                <w:numId w:val="17"/>
              </w:numPr>
              <w:textAlignment w:val="baseline"/>
              <w:rPr>
                <w:bCs/>
              </w:rPr>
            </w:pPr>
            <w:r>
              <w:rPr>
                <w:bCs/>
              </w:rPr>
              <w:t>modelling of sensing targets and background environment, including, for example (if needed by the above use cases), radar cross-section (RCS), mobility and clutter/scattering patterns;</w:t>
            </w:r>
          </w:p>
          <w:p w14:paraId="3594E91F" w14:textId="77777777" w:rsidR="007D19A6" w:rsidRDefault="007D19A6" w:rsidP="007D19A6">
            <w:pPr>
              <w:widowControl w:val="0"/>
              <w:numPr>
                <w:ilvl w:val="0"/>
                <w:numId w:val="17"/>
              </w:numPr>
              <w:textAlignment w:val="baseline"/>
              <w:rPr>
                <w:lang w:eastAsia="zh-CN"/>
              </w:rPr>
            </w:pPr>
            <w:r>
              <w:rPr>
                <w:bCs/>
              </w:rPr>
              <w:t>spatial consistency.</w:t>
            </w:r>
          </w:p>
        </w:tc>
      </w:tr>
    </w:tbl>
    <w:p w14:paraId="4C203750" w14:textId="77777777" w:rsidR="001C2CC2" w:rsidRDefault="001C2CC2" w:rsidP="001C2CC2">
      <w:pPr>
        <w:spacing w:before="120" w:after="120"/>
        <w:jc w:val="both"/>
        <w:rPr>
          <w:lang w:eastAsia="zh-CN"/>
        </w:rPr>
      </w:pPr>
    </w:p>
    <w:p w14:paraId="03B20BA4" w14:textId="03C13D20" w:rsidR="007D19A6" w:rsidRDefault="007D19A6" w:rsidP="001C2CC2">
      <w:pPr>
        <w:spacing w:before="120" w:after="120"/>
        <w:jc w:val="both"/>
        <w:rPr>
          <w:lang w:eastAsia="zh-CN"/>
        </w:rPr>
      </w:pPr>
      <w:r>
        <w:rPr>
          <w:lang w:eastAsia="zh-CN"/>
        </w:rPr>
        <w:t>This document is the coversheet for the excel sheet collecting</w:t>
      </w:r>
      <w:r w:rsidR="001C2CC2">
        <w:rPr>
          <w:lang w:eastAsia="zh-CN"/>
        </w:rPr>
        <w:t xml:space="preserve"> </w:t>
      </w:r>
      <w:r w:rsidR="00D051DD">
        <w:rPr>
          <w:lang w:eastAsia="zh-CN"/>
        </w:rPr>
        <w:t xml:space="preserve">the </w:t>
      </w:r>
      <w:r w:rsidR="001C2CC2">
        <w:rPr>
          <w:lang w:eastAsia="zh-CN"/>
        </w:rPr>
        <w:t>information on all validation results for ISAC channel model submitted by companies within the study item.</w:t>
      </w:r>
      <w:r w:rsidR="00D051DD">
        <w:rPr>
          <w:lang w:eastAsia="zh-CN"/>
        </w:rPr>
        <w:t xml:space="preserve"> D</w:t>
      </w:r>
      <w:r w:rsidR="001C2CC2">
        <w:rPr>
          <w:lang w:eastAsia="zh-CN"/>
        </w:rPr>
        <w:t>etailed information is provided in the attached excel sheet.</w:t>
      </w:r>
      <w:r w:rsidR="00C50446" w:rsidRPr="00C50446">
        <w:rPr>
          <w:lang w:eastAsia="zh-CN"/>
        </w:rPr>
        <w:t xml:space="preserve"> </w:t>
      </w:r>
      <w:r w:rsidR="00C50446">
        <w:rPr>
          <w:lang w:eastAsia="zh-CN"/>
        </w:rPr>
        <w:t xml:space="preserve">The references to the proposals in moderator’s summaries are also included </w:t>
      </w:r>
      <w:r w:rsidR="00C50446" w:rsidRPr="00D051DD">
        <w:rPr>
          <w:lang w:eastAsia="zh-CN"/>
        </w:rPr>
        <w:t>from which companies can understand how each validation information (results from companies) was considered in the study towards obtaining the RCS and background channel included in TR38.90</w:t>
      </w:r>
      <w:r w:rsidR="00C50446">
        <w:rPr>
          <w:lang w:eastAsia="zh-CN"/>
        </w:rPr>
        <w:t>1.</w:t>
      </w:r>
    </w:p>
    <w:p w14:paraId="37B4958D" w14:textId="77777777" w:rsidR="001C2CC2" w:rsidRDefault="001C2CC2" w:rsidP="001C2CC2">
      <w:pPr>
        <w:spacing w:before="120" w:after="120"/>
        <w:jc w:val="both"/>
        <w:rPr>
          <w:lang w:val="en-US"/>
        </w:rPr>
      </w:pPr>
    </w:p>
    <w:p w14:paraId="186FA8EE" w14:textId="77777777" w:rsidR="007D19A6" w:rsidRDefault="007D19A6" w:rsidP="007D19A6">
      <w:pPr>
        <w:pStyle w:val="1"/>
        <w:numPr>
          <w:ilvl w:val="0"/>
          <w:numId w:val="0"/>
        </w:numPr>
        <w:ind w:left="432" w:hanging="432"/>
      </w:pPr>
      <w:r>
        <w:t xml:space="preserve">Reference </w:t>
      </w:r>
    </w:p>
    <w:p w14:paraId="66362B76" w14:textId="530D4750" w:rsidR="007D19A6" w:rsidRDefault="007D19A6" w:rsidP="007D19A6">
      <w:pPr>
        <w:pStyle w:val="aff4"/>
        <w:numPr>
          <w:ilvl w:val="0"/>
          <w:numId w:val="70"/>
        </w:numPr>
        <w:rPr>
          <w:lang w:eastAsia="zh-CN"/>
        </w:rPr>
      </w:pPr>
      <w:r>
        <w:rPr>
          <w:lang w:eastAsia="zh-CN"/>
        </w:rPr>
        <w:t xml:space="preserve">RP-240799, “Revised SID: </w:t>
      </w:r>
      <w:bookmarkStart w:id="3"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3"/>
      <w:r>
        <w:rPr>
          <w:lang w:eastAsia="zh-CN"/>
        </w:rPr>
        <w:t>”, Xiaomi, AT&amp;T</w:t>
      </w:r>
    </w:p>
    <w:p w14:paraId="30C11517" w14:textId="77777777" w:rsidR="007D19A6" w:rsidRDefault="007D19A6" w:rsidP="007D19A6">
      <w:pPr>
        <w:pStyle w:val="aff4"/>
        <w:numPr>
          <w:ilvl w:val="0"/>
          <w:numId w:val="70"/>
        </w:numPr>
        <w:rPr>
          <w:lang w:eastAsia="zh-CN"/>
        </w:rPr>
      </w:pPr>
      <w:bookmarkStart w:id="4" w:name="_Hlk164683849"/>
      <w:r>
        <w:rPr>
          <w:lang w:eastAsia="zh-CN"/>
        </w:rPr>
        <w:t xml:space="preserve">RP-242348, “Revised SID: Study on channel modelling for Integrated Sensing </w:t>
      </w:r>
      <w:proofErr w:type="gramStart"/>
      <w:r>
        <w:rPr>
          <w:lang w:eastAsia="zh-CN"/>
        </w:rPr>
        <w:t>And</w:t>
      </w:r>
      <w:proofErr w:type="gramEnd"/>
      <w:r>
        <w:rPr>
          <w:lang w:eastAsia="zh-CN"/>
        </w:rPr>
        <w:t xml:space="preserve"> Communication (ISAC) for NR”, Xiaomi, AT&amp;T</w:t>
      </w:r>
      <w:bookmarkEnd w:id="4"/>
    </w:p>
    <w:p w14:paraId="52C18C74" w14:textId="77777777" w:rsidR="007D19A6" w:rsidRPr="007D19A6" w:rsidRDefault="007D19A6" w:rsidP="007D19A6">
      <w:pPr>
        <w:spacing w:before="120"/>
        <w:jc w:val="both"/>
      </w:pPr>
    </w:p>
    <w:sectPr w:rsidR="007D19A6" w:rsidRPr="007D19A6">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3B1F8" w14:textId="77777777" w:rsidR="009D0BA4" w:rsidRDefault="009D0BA4" w:rsidP="00F76B68">
      <w:r>
        <w:separator/>
      </w:r>
    </w:p>
  </w:endnote>
  <w:endnote w:type="continuationSeparator" w:id="0">
    <w:p w14:paraId="506C9DCE" w14:textId="77777777" w:rsidR="009D0BA4" w:rsidRDefault="009D0BA4" w:rsidP="00F76B68">
      <w:r>
        <w:continuationSeparator/>
      </w:r>
    </w:p>
  </w:endnote>
  <w:endnote w:type="continuationNotice" w:id="1">
    <w:p w14:paraId="6E63A8B5" w14:textId="77777777" w:rsidR="009D0BA4" w:rsidRDefault="009D0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Microsoft Sans Serif"/>
    <w:charset w:val="01"/>
    <w:family w:val="roman"/>
    <w:pitch w:val="default"/>
  </w:font>
  <w:font w:name="Noto Sans CJK SC">
    <w:altName w:val="宋体"/>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6AA67" w14:textId="77777777" w:rsidR="009D0BA4" w:rsidRDefault="009D0BA4" w:rsidP="00F76B68">
      <w:r>
        <w:separator/>
      </w:r>
    </w:p>
  </w:footnote>
  <w:footnote w:type="continuationSeparator" w:id="0">
    <w:p w14:paraId="2B38916B" w14:textId="77777777" w:rsidR="009D0BA4" w:rsidRDefault="009D0BA4" w:rsidP="00F76B68">
      <w:r>
        <w:continuationSeparator/>
      </w:r>
    </w:p>
  </w:footnote>
  <w:footnote w:type="continuationNotice" w:id="1">
    <w:p w14:paraId="1BA9B8D5" w14:textId="77777777" w:rsidR="009D0BA4" w:rsidRDefault="009D0B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4"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0"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1"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5"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2E28448C"/>
    <w:multiLevelType w:val="singleLevel"/>
    <w:tmpl w:val="2E28448C"/>
    <w:lvl w:ilvl="0">
      <w:start w:val="1"/>
      <w:numFmt w:val="decimal"/>
      <w:suff w:val="space"/>
      <w:lvlText w:val="%1."/>
      <w:lvlJc w:val="left"/>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3"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6"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0"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1"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8"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69"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2"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5"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9"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1"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8"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0"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1"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3"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4"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5"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0"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0"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3"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4"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9"/>
  </w:num>
  <w:num w:numId="2">
    <w:abstractNumId w:val="19"/>
  </w:num>
  <w:num w:numId="3">
    <w:abstractNumId w:val="82"/>
  </w:num>
  <w:num w:numId="4">
    <w:abstractNumId w:val="105"/>
  </w:num>
  <w:num w:numId="5">
    <w:abstractNumId w:val="92"/>
  </w:num>
  <w:num w:numId="6">
    <w:abstractNumId w:val="35"/>
  </w:num>
  <w:num w:numId="7">
    <w:abstractNumId w:val="78"/>
  </w:num>
  <w:num w:numId="8">
    <w:abstractNumId w:val="64"/>
    <w:lvlOverride w:ilvl="0">
      <w:startOverride w:val="1"/>
    </w:lvlOverride>
  </w:num>
  <w:num w:numId="9">
    <w:abstractNumId w:val="106"/>
  </w:num>
  <w:num w:numId="10">
    <w:abstractNumId w:val="96"/>
  </w:num>
  <w:num w:numId="1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102"/>
  </w:num>
  <w:num w:numId="14">
    <w:abstractNumId w:val="30"/>
  </w:num>
  <w:num w:numId="15">
    <w:abstractNumId w:val="18"/>
  </w:num>
  <w:num w:numId="16">
    <w:abstractNumId w:val="23"/>
  </w:num>
  <w:num w:numId="17">
    <w:abstractNumId w:val="112"/>
  </w:num>
  <w:num w:numId="18">
    <w:abstractNumId w:val="86"/>
  </w:num>
  <w:num w:numId="19">
    <w:abstractNumId w:val="39"/>
  </w:num>
  <w:num w:numId="20">
    <w:abstractNumId w:val="80"/>
  </w:num>
  <w:num w:numId="21">
    <w:abstractNumId w:val="110"/>
  </w:num>
  <w:num w:numId="22">
    <w:abstractNumId w:val="103"/>
  </w:num>
  <w:num w:numId="23">
    <w:abstractNumId w:val="44"/>
  </w:num>
  <w:num w:numId="24">
    <w:abstractNumId w:val="13"/>
  </w:num>
  <w:num w:numId="25">
    <w:abstractNumId w:val="69"/>
  </w:num>
  <w:num w:numId="26">
    <w:abstractNumId w:val="58"/>
  </w:num>
  <w:num w:numId="27">
    <w:abstractNumId w:val="57"/>
  </w:num>
  <w:num w:numId="28">
    <w:abstractNumId w:val="46"/>
  </w:num>
  <w:num w:numId="29">
    <w:abstractNumId w:val="0"/>
  </w:num>
  <w:num w:numId="30">
    <w:abstractNumId w:val="65"/>
  </w:num>
  <w:num w:numId="31">
    <w:abstractNumId w:val="21"/>
  </w:num>
  <w:num w:numId="32">
    <w:abstractNumId w:val="66"/>
  </w:num>
  <w:num w:numId="33">
    <w:abstractNumId w:val="107"/>
  </w:num>
  <w:num w:numId="34">
    <w:abstractNumId w:val="61"/>
  </w:num>
  <w:num w:numId="35">
    <w:abstractNumId w:val="84"/>
  </w:num>
  <w:num w:numId="36">
    <w:abstractNumId w:val="1"/>
  </w:num>
  <w:num w:numId="37">
    <w:abstractNumId w:val="114"/>
  </w:num>
  <w:num w:numId="38">
    <w:abstractNumId w:val="7"/>
  </w:num>
  <w:num w:numId="39">
    <w:abstractNumId w:val="111"/>
  </w:num>
  <w:num w:numId="40">
    <w:abstractNumId w:val="83"/>
  </w:num>
  <w:num w:numId="41">
    <w:abstractNumId w:val="4"/>
  </w:num>
  <w:num w:numId="42">
    <w:abstractNumId w:val="89"/>
  </w:num>
  <w:num w:numId="43">
    <w:abstractNumId w:val="59"/>
  </w:num>
  <w:num w:numId="44">
    <w:abstractNumId w:val="74"/>
  </w:num>
  <w:num w:numId="45">
    <w:abstractNumId w:val="26"/>
  </w:num>
  <w:num w:numId="46">
    <w:abstractNumId w:val="31"/>
  </w:num>
  <w:num w:numId="47">
    <w:abstractNumId w:val="104"/>
  </w:num>
  <w:num w:numId="48">
    <w:abstractNumId w:val="93"/>
  </w:num>
  <w:num w:numId="49">
    <w:abstractNumId w:val="68"/>
  </w:num>
  <w:num w:numId="50">
    <w:abstractNumId w:val="3"/>
  </w:num>
  <w:num w:numId="51">
    <w:abstractNumId w:val="10"/>
  </w:num>
  <w:num w:numId="52">
    <w:abstractNumId w:val="6"/>
  </w:num>
  <w:num w:numId="53">
    <w:abstractNumId w:val="34"/>
  </w:num>
  <w:num w:numId="54">
    <w:abstractNumId w:val="43"/>
  </w:num>
  <w:num w:numId="55">
    <w:abstractNumId w:val="53"/>
  </w:num>
  <w:num w:numId="56">
    <w:abstractNumId w:val="41"/>
  </w:num>
  <w:num w:numId="57">
    <w:abstractNumId w:val="54"/>
  </w:num>
  <w:num w:numId="58">
    <w:abstractNumId w:val="32"/>
  </w:num>
  <w:num w:numId="59">
    <w:abstractNumId w:val="48"/>
  </w:num>
  <w:num w:numId="60">
    <w:abstractNumId w:val="49"/>
  </w:num>
  <w:num w:numId="61">
    <w:abstractNumId w:val="99"/>
  </w:num>
  <w:num w:numId="62">
    <w:abstractNumId w:val="56"/>
  </w:num>
  <w:num w:numId="63">
    <w:abstractNumId w:val="22"/>
  </w:num>
  <w:num w:numId="64">
    <w:abstractNumId w:val="63"/>
  </w:num>
  <w:num w:numId="65">
    <w:abstractNumId w:val="47"/>
  </w:num>
  <w:num w:numId="66">
    <w:abstractNumId w:val="17"/>
  </w:num>
  <w:num w:numId="67">
    <w:abstractNumId w:val="38"/>
  </w:num>
  <w:num w:numId="68">
    <w:abstractNumId w:val="71"/>
  </w:num>
  <w:num w:numId="69">
    <w:abstractNumId w:val="88"/>
  </w:num>
  <w:num w:numId="70">
    <w:abstractNumId w:val="9"/>
  </w:num>
  <w:num w:numId="71">
    <w:abstractNumId w:val="15"/>
  </w:num>
  <w:num w:numId="72">
    <w:abstractNumId w:val="60"/>
  </w:num>
  <w:num w:numId="73">
    <w:abstractNumId w:val="20"/>
  </w:num>
  <w:num w:numId="74">
    <w:abstractNumId w:val="108"/>
  </w:num>
  <w:num w:numId="75">
    <w:abstractNumId w:val="87"/>
  </w:num>
  <w:num w:numId="76">
    <w:abstractNumId w:val="72"/>
  </w:num>
  <w:num w:numId="77">
    <w:abstractNumId w:val="79"/>
  </w:num>
  <w:num w:numId="78">
    <w:abstractNumId w:val="75"/>
  </w:num>
  <w:num w:numId="79">
    <w:abstractNumId w:val="76"/>
  </w:num>
  <w:num w:numId="80">
    <w:abstractNumId w:val="100"/>
  </w:num>
  <w:num w:numId="81">
    <w:abstractNumId w:val="27"/>
  </w:num>
  <w:num w:numId="82">
    <w:abstractNumId w:val="8"/>
  </w:num>
  <w:num w:numId="83">
    <w:abstractNumId w:val="29"/>
  </w:num>
  <w:num w:numId="84">
    <w:abstractNumId w:val="37"/>
  </w:num>
  <w:num w:numId="85">
    <w:abstractNumId w:val="52"/>
  </w:num>
  <w:num w:numId="86">
    <w:abstractNumId w:val="62"/>
  </w:num>
  <w:num w:numId="87">
    <w:abstractNumId w:val="51"/>
  </w:num>
  <w:num w:numId="88">
    <w:abstractNumId w:val="42"/>
  </w:num>
  <w:num w:numId="89">
    <w:abstractNumId w:val="45"/>
  </w:num>
  <w:num w:numId="90">
    <w:abstractNumId w:val="90"/>
  </w:num>
  <w:num w:numId="91">
    <w:abstractNumId w:val="98"/>
  </w:num>
  <w:num w:numId="92">
    <w:abstractNumId w:val="113"/>
  </w:num>
  <w:num w:numId="93">
    <w:abstractNumId w:val="94"/>
  </w:num>
  <w:num w:numId="94">
    <w:abstractNumId w:val="95"/>
  </w:num>
  <w:num w:numId="95">
    <w:abstractNumId w:val="55"/>
  </w:num>
  <w:num w:numId="96">
    <w:abstractNumId w:val="73"/>
  </w:num>
  <w:num w:numId="97">
    <w:abstractNumId w:val="25"/>
  </w:num>
  <w:num w:numId="98">
    <w:abstractNumId w:val="5"/>
  </w:num>
  <w:num w:numId="99">
    <w:abstractNumId w:val="67"/>
  </w:num>
  <w:num w:numId="100">
    <w:abstractNumId w:val="12"/>
  </w:num>
  <w:num w:numId="101">
    <w:abstractNumId w:val="28"/>
  </w:num>
  <w:num w:numId="102">
    <w:abstractNumId w:val="70"/>
  </w:num>
  <w:num w:numId="103">
    <w:abstractNumId w:val="16"/>
  </w:num>
  <w:num w:numId="104">
    <w:abstractNumId w:val="115"/>
  </w:num>
  <w:num w:numId="105">
    <w:abstractNumId w:val="40"/>
  </w:num>
  <w:num w:numId="106">
    <w:abstractNumId w:val="101"/>
  </w:num>
  <w:num w:numId="107">
    <w:abstractNumId w:val="80"/>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7"/>
  </w:num>
  <w:num w:numId="109">
    <w:abstractNumId w:val="33"/>
  </w:num>
  <w:num w:numId="110">
    <w:abstractNumId w:val="81"/>
  </w:num>
  <w:num w:numId="111">
    <w:abstractNumId w:val="74"/>
  </w:num>
  <w:num w:numId="112">
    <w:abstractNumId w:val="50"/>
  </w:num>
  <w:num w:numId="113">
    <w:abstractNumId w:val="77"/>
  </w:num>
  <w:num w:numId="114">
    <w:abstractNumId w:val="24"/>
  </w:num>
  <w:num w:numId="115">
    <w:abstractNumId w:val="11"/>
  </w:num>
  <w:num w:numId="116">
    <w:abstractNumId w:val="14"/>
  </w:num>
  <w:num w:numId="117">
    <w:abstractNumId w:val="91"/>
  </w:num>
  <w:num w:numId="118">
    <w:abstractNumId w:val="2"/>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proofState w:spelling="clean" w:grammar="clean"/>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78B"/>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1B6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3623"/>
    <w:rsid w:val="00103720"/>
    <w:rsid w:val="0010422A"/>
    <w:rsid w:val="001059A7"/>
    <w:rsid w:val="00105B1D"/>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3AE"/>
    <w:rsid w:val="001C1011"/>
    <w:rsid w:val="001C1FDF"/>
    <w:rsid w:val="001C266C"/>
    <w:rsid w:val="001C2CC2"/>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FFE"/>
    <w:rsid w:val="00271279"/>
    <w:rsid w:val="00272624"/>
    <w:rsid w:val="0027296A"/>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42DC"/>
    <w:rsid w:val="002946B6"/>
    <w:rsid w:val="00294B7A"/>
    <w:rsid w:val="00294EEC"/>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342C"/>
    <w:rsid w:val="002D4581"/>
    <w:rsid w:val="002D4E13"/>
    <w:rsid w:val="002D7261"/>
    <w:rsid w:val="002D7F1A"/>
    <w:rsid w:val="002E024D"/>
    <w:rsid w:val="002E0293"/>
    <w:rsid w:val="002E128E"/>
    <w:rsid w:val="002E1A94"/>
    <w:rsid w:val="002E1FC7"/>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4137"/>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4F8"/>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C77"/>
    <w:rsid w:val="004E35C2"/>
    <w:rsid w:val="004E3AF0"/>
    <w:rsid w:val="004E440A"/>
    <w:rsid w:val="004E500E"/>
    <w:rsid w:val="004E55A4"/>
    <w:rsid w:val="004E59B8"/>
    <w:rsid w:val="004E7A58"/>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330A"/>
    <w:rsid w:val="005436B9"/>
    <w:rsid w:val="00546E84"/>
    <w:rsid w:val="00547647"/>
    <w:rsid w:val="00550D88"/>
    <w:rsid w:val="0055196E"/>
    <w:rsid w:val="005525D9"/>
    <w:rsid w:val="00552EA9"/>
    <w:rsid w:val="00553F2A"/>
    <w:rsid w:val="005543AF"/>
    <w:rsid w:val="005546D6"/>
    <w:rsid w:val="00554865"/>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382C"/>
    <w:rsid w:val="005F4249"/>
    <w:rsid w:val="005F42BA"/>
    <w:rsid w:val="005F4450"/>
    <w:rsid w:val="005F5239"/>
    <w:rsid w:val="005F5E96"/>
    <w:rsid w:val="005F6B72"/>
    <w:rsid w:val="005F7393"/>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3A3"/>
    <w:rsid w:val="006A13C1"/>
    <w:rsid w:val="006A1BA4"/>
    <w:rsid w:val="006A231C"/>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284"/>
    <w:rsid w:val="007D0768"/>
    <w:rsid w:val="007D0991"/>
    <w:rsid w:val="007D19A6"/>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A12"/>
    <w:rsid w:val="007F0AEE"/>
    <w:rsid w:val="007F13A2"/>
    <w:rsid w:val="007F14AD"/>
    <w:rsid w:val="007F15F9"/>
    <w:rsid w:val="007F2F22"/>
    <w:rsid w:val="007F42CE"/>
    <w:rsid w:val="007F49FF"/>
    <w:rsid w:val="007F4B9F"/>
    <w:rsid w:val="007F4D6F"/>
    <w:rsid w:val="007F5702"/>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201F"/>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0BA4"/>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736"/>
    <w:rsid w:val="00A35B7A"/>
    <w:rsid w:val="00A3641E"/>
    <w:rsid w:val="00A369A3"/>
    <w:rsid w:val="00A36B07"/>
    <w:rsid w:val="00A40E92"/>
    <w:rsid w:val="00A40F2E"/>
    <w:rsid w:val="00A43BBA"/>
    <w:rsid w:val="00A44B75"/>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173"/>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AF7"/>
    <w:rsid w:val="00BA6FA3"/>
    <w:rsid w:val="00BA7C93"/>
    <w:rsid w:val="00BB0228"/>
    <w:rsid w:val="00BB059C"/>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1615"/>
    <w:rsid w:val="00BF1F18"/>
    <w:rsid w:val="00BF457D"/>
    <w:rsid w:val="00BF499A"/>
    <w:rsid w:val="00BF51DA"/>
    <w:rsid w:val="00BF6732"/>
    <w:rsid w:val="00C01214"/>
    <w:rsid w:val="00C01C77"/>
    <w:rsid w:val="00C0227C"/>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0446"/>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6C7B"/>
    <w:rsid w:val="00CA6DC2"/>
    <w:rsid w:val="00CB0933"/>
    <w:rsid w:val="00CB1126"/>
    <w:rsid w:val="00CB2ED9"/>
    <w:rsid w:val="00CB3203"/>
    <w:rsid w:val="00CB360E"/>
    <w:rsid w:val="00CB434C"/>
    <w:rsid w:val="00CB458A"/>
    <w:rsid w:val="00CB578E"/>
    <w:rsid w:val="00CB739B"/>
    <w:rsid w:val="00CC0D7B"/>
    <w:rsid w:val="00CC0DDB"/>
    <w:rsid w:val="00CC1A08"/>
    <w:rsid w:val="00CC43AE"/>
    <w:rsid w:val="00CC57C7"/>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1DD"/>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C27"/>
    <w:rsid w:val="00E324EF"/>
    <w:rsid w:val="00E32E8B"/>
    <w:rsid w:val="00E336BE"/>
    <w:rsid w:val="00E34985"/>
    <w:rsid w:val="00E34F27"/>
    <w:rsid w:val="00E3544B"/>
    <w:rsid w:val="00E3559D"/>
    <w:rsid w:val="00E35A60"/>
    <w:rsid w:val="00E36257"/>
    <w:rsid w:val="00E409E4"/>
    <w:rsid w:val="00E40B58"/>
    <w:rsid w:val="00E41222"/>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75BA"/>
    <w:rsid w:val="00EC00B7"/>
    <w:rsid w:val="00EC0121"/>
    <w:rsid w:val="00EC3540"/>
    <w:rsid w:val="00EC3A17"/>
    <w:rsid w:val="00EC46E8"/>
    <w:rsid w:val="00EC48A8"/>
    <w:rsid w:val="00EC503E"/>
    <w:rsid w:val="00EC5A95"/>
    <w:rsid w:val="00EC691F"/>
    <w:rsid w:val="00EC69C0"/>
    <w:rsid w:val="00EC6CF5"/>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811"/>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列出段落2,?"/>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673096">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2.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650E0-06BE-4BB2-8BA0-14DFECC0395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Rapporteur</cp:lastModifiedBy>
  <cp:revision>8</cp:revision>
  <dcterms:created xsi:type="dcterms:W3CDTF">2025-06-02T12:44:00Z</dcterms:created>
  <dcterms:modified xsi:type="dcterms:W3CDTF">2025-06-04T15:12:00Z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ies>
</file>